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85D" w:rsidRPr="00696202" w:rsidRDefault="00F1185D" w:rsidP="00F1185D">
      <w:pPr>
        <w:pStyle w:val="Default"/>
        <w:rPr>
          <w:rFonts w:ascii="Corbel" w:hAnsi="Corbel"/>
          <w:b/>
          <w:bCs/>
          <w:smallCaps/>
          <w:color w:val="C00000"/>
          <w:u w:val="single"/>
        </w:rPr>
      </w:pPr>
      <w:r w:rsidRPr="00696202">
        <w:rPr>
          <w:rFonts w:ascii="Corbel" w:hAnsi="Corbel"/>
          <w:b/>
          <w:bCs/>
          <w:smallCaps/>
          <w:color w:val="C00000"/>
          <w:u w:val="single"/>
        </w:rPr>
        <w:t>Art. 6 – Valutazione delle manifestazioni di interesse</w:t>
      </w:r>
    </w:p>
    <w:p w:rsidR="00F1185D" w:rsidRDefault="00F1185D" w:rsidP="00F1185D">
      <w:pPr>
        <w:widowControl w:val="0"/>
        <w:spacing w:after="0" w:line="240" w:lineRule="auto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F1185D" w:rsidRPr="00696202" w:rsidRDefault="00F1185D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proofErr w:type="gramStart"/>
      <w:r w:rsidRPr="00696202">
        <w:rPr>
          <w:rFonts w:ascii="Corbel" w:eastAsia="Times New Roman" w:hAnsi="Corbel" w:cs="Times New Roman"/>
          <w:bCs/>
          <w:sz w:val="24"/>
          <w:szCs w:val="24"/>
        </w:rPr>
        <w:t>La  valutazione</w:t>
      </w:r>
      <w:proofErr w:type="gramEnd"/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dell’ammissibilità delle manifestazioni di interesse e dell’ammissione delle stesse alla successiva fase di selezione è demandata ad apposita commissione giudicatrice</w:t>
      </w:r>
      <w:r w:rsidRPr="00A5560F">
        <w:rPr>
          <w:rFonts w:ascii="Corbel" w:eastAsia="Times New Roman" w:hAnsi="Corbel" w:cs="Times New Roman"/>
          <w:bCs/>
          <w:sz w:val="24"/>
          <w:szCs w:val="24"/>
        </w:rPr>
        <w:t xml:space="preserve">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>in numero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 dispari e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non superiore a 5 componenti, nominata </w:t>
      </w:r>
      <w:r>
        <w:rPr>
          <w:rFonts w:ascii="Corbel" w:eastAsia="Times New Roman" w:hAnsi="Corbel" w:cs="Times New Roman"/>
          <w:bCs/>
          <w:sz w:val="24"/>
          <w:szCs w:val="24"/>
        </w:rPr>
        <w:t>dopo la scadenza del termine per la presentazione delle candidature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>.</w:t>
      </w:r>
    </w:p>
    <w:p w:rsidR="00F1185D" w:rsidRPr="00696202" w:rsidRDefault="00F1185D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696202">
        <w:rPr>
          <w:rFonts w:ascii="Corbel" w:eastAsia="Times New Roman" w:hAnsi="Corbel" w:cs="Times New Roman"/>
          <w:bCs/>
          <w:sz w:val="24"/>
          <w:szCs w:val="24"/>
        </w:rPr>
        <w:t>La predetta Commissione procederà a valutare le proposte sulla base dei seguenti criteri:</w:t>
      </w:r>
      <w:r w:rsidRPr="00696202">
        <w:rPr>
          <w:rFonts w:ascii="Corbel" w:eastAsia="Times New Roman" w:hAnsi="Corbel" w:cs="Times New Roman"/>
          <w:b/>
          <w:bCs/>
          <w:sz w:val="24"/>
          <w:szCs w:val="24"/>
        </w:rPr>
        <w:t xml:space="preserve">                                                       </w:t>
      </w:r>
    </w:p>
    <w:p w:rsidR="00F1185D" w:rsidRDefault="00F1185D" w:rsidP="00F1185D">
      <w:pPr>
        <w:pStyle w:val="Paragrafoelenco"/>
        <w:widowControl w:val="0"/>
        <w:numPr>
          <w:ilvl w:val="0"/>
          <w:numId w:val="2"/>
        </w:numPr>
        <w:ind w:left="1276" w:hanging="283"/>
        <w:jc w:val="both"/>
        <w:rPr>
          <w:rFonts w:ascii="Corbel" w:hAnsi="Corbel"/>
          <w:bCs/>
        </w:rPr>
      </w:pPr>
      <w:proofErr w:type="gramStart"/>
      <w:r>
        <w:rPr>
          <w:rFonts w:ascii="Corbel" w:hAnsi="Corbel"/>
          <w:bCs/>
        </w:rPr>
        <w:t>c</w:t>
      </w:r>
      <w:r w:rsidRPr="008436CE">
        <w:rPr>
          <w:rFonts w:ascii="Corbel" w:hAnsi="Corbel"/>
          <w:bCs/>
        </w:rPr>
        <w:t>apacità</w:t>
      </w:r>
      <w:proofErr w:type="gramEnd"/>
      <w:r w:rsidRPr="008436CE">
        <w:rPr>
          <w:rFonts w:ascii="Corbel" w:hAnsi="Corbel"/>
          <w:bCs/>
        </w:rPr>
        <w:t xml:space="preserve"> della proposta di </w:t>
      </w:r>
      <w:r w:rsidRPr="000A2145">
        <w:rPr>
          <w:rFonts w:ascii="Corbel" w:hAnsi="Corbel"/>
          <w:bCs/>
          <w:highlight w:val="yellow"/>
        </w:rPr>
        <w:t>favorire il rapporto con il mondo del lavoro e con la vocazione produttiva del territorio e contrastare fenomeni di dispersione scolastica</w:t>
      </w:r>
      <w:r>
        <w:rPr>
          <w:rFonts w:ascii="Corbel" w:hAnsi="Corbel"/>
          <w:bCs/>
        </w:rPr>
        <w:t xml:space="preserve">, con particolare </w:t>
      </w:r>
      <w:r w:rsidRPr="000A2145">
        <w:rPr>
          <w:rFonts w:ascii="Corbel" w:hAnsi="Corbel"/>
          <w:bCs/>
          <w:highlight w:val="yellow"/>
        </w:rPr>
        <w:t>attenzione alle competenze da sviluppare</w:t>
      </w:r>
      <w:r>
        <w:rPr>
          <w:rFonts w:ascii="Corbel" w:hAnsi="Corbel"/>
          <w:bCs/>
        </w:rPr>
        <w:t xml:space="preserve">: </w:t>
      </w:r>
      <w:proofErr w:type="spellStart"/>
      <w:r>
        <w:rPr>
          <w:rFonts w:ascii="Corbel" w:hAnsi="Corbel"/>
          <w:bCs/>
        </w:rPr>
        <w:t>max</w:t>
      </w:r>
      <w:proofErr w:type="spellEnd"/>
      <w:r>
        <w:rPr>
          <w:rFonts w:ascii="Corbel" w:hAnsi="Corbel"/>
          <w:bCs/>
        </w:rPr>
        <w:t xml:space="preserve"> 20 punti;</w:t>
      </w:r>
    </w:p>
    <w:p w:rsidR="00F1185D" w:rsidRDefault="00F1185D" w:rsidP="00F1185D">
      <w:pPr>
        <w:pStyle w:val="Paragrafoelenco"/>
        <w:widowControl w:val="0"/>
        <w:numPr>
          <w:ilvl w:val="0"/>
          <w:numId w:val="2"/>
        </w:numPr>
        <w:ind w:left="1276" w:hanging="283"/>
        <w:jc w:val="both"/>
        <w:rPr>
          <w:rFonts w:ascii="Corbel" w:hAnsi="Corbel"/>
          <w:bCs/>
        </w:rPr>
      </w:pPr>
      <w:proofErr w:type="gramStart"/>
      <w:r w:rsidRPr="000A2145">
        <w:rPr>
          <w:rFonts w:ascii="Corbel" w:hAnsi="Corbel"/>
          <w:bCs/>
          <w:highlight w:val="yellow"/>
        </w:rPr>
        <w:t>innovatività</w:t>
      </w:r>
      <w:proofErr w:type="gramEnd"/>
      <w:r w:rsidRPr="000A2145">
        <w:rPr>
          <w:rFonts w:ascii="Corbel" w:hAnsi="Corbel"/>
          <w:bCs/>
          <w:highlight w:val="yellow"/>
        </w:rPr>
        <w:t xml:space="preserve"> della proposta e apertura al territorio</w:t>
      </w:r>
      <w:r>
        <w:rPr>
          <w:rFonts w:ascii="Corbel" w:hAnsi="Corbel"/>
          <w:bCs/>
        </w:rPr>
        <w:t xml:space="preserve">: </w:t>
      </w:r>
      <w:proofErr w:type="spellStart"/>
      <w:r>
        <w:rPr>
          <w:rFonts w:ascii="Corbel" w:hAnsi="Corbel"/>
          <w:bCs/>
        </w:rPr>
        <w:t>max</w:t>
      </w:r>
      <w:proofErr w:type="spellEnd"/>
      <w:r>
        <w:rPr>
          <w:rFonts w:ascii="Corbel" w:hAnsi="Corbel"/>
          <w:bCs/>
        </w:rPr>
        <w:t xml:space="preserve"> 20 punti;</w:t>
      </w:r>
    </w:p>
    <w:p w:rsidR="00F1185D" w:rsidRDefault="00F1185D" w:rsidP="00F1185D">
      <w:pPr>
        <w:pStyle w:val="Paragrafoelenco"/>
        <w:widowControl w:val="0"/>
        <w:numPr>
          <w:ilvl w:val="0"/>
          <w:numId w:val="2"/>
        </w:numPr>
        <w:ind w:left="1276" w:hanging="283"/>
        <w:jc w:val="both"/>
        <w:rPr>
          <w:rFonts w:ascii="Corbel" w:hAnsi="Corbel"/>
          <w:bCs/>
        </w:rPr>
      </w:pPr>
      <w:proofErr w:type="gramStart"/>
      <w:r w:rsidRPr="000A2145">
        <w:rPr>
          <w:rFonts w:ascii="Corbel" w:hAnsi="Corbel"/>
          <w:bCs/>
          <w:highlight w:val="yellow"/>
        </w:rPr>
        <w:t>coinvolgimento</w:t>
      </w:r>
      <w:proofErr w:type="gramEnd"/>
      <w:r w:rsidRPr="000A2145">
        <w:rPr>
          <w:rFonts w:ascii="Corbel" w:hAnsi="Corbel"/>
          <w:bCs/>
          <w:highlight w:val="yellow"/>
        </w:rPr>
        <w:t xml:space="preserve"> di ulteriori attori del territorio</w:t>
      </w:r>
      <w:r w:rsidRPr="00E745DF">
        <w:rPr>
          <w:rFonts w:ascii="Corbel" w:hAnsi="Corbel"/>
          <w:bCs/>
        </w:rPr>
        <w:t xml:space="preserve">: </w:t>
      </w:r>
      <w:proofErr w:type="spellStart"/>
      <w:r w:rsidRPr="00E745DF">
        <w:rPr>
          <w:rFonts w:ascii="Corbel" w:hAnsi="Corbel"/>
          <w:bCs/>
        </w:rPr>
        <w:t>max</w:t>
      </w:r>
      <w:proofErr w:type="spellEnd"/>
      <w:r w:rsidRPr="00E745DF">
        <w:rPr>
          <w:rFonts w:ascii="Corbel" w:hAnsi="Corbel"/>
          <w:bCs/>
        </w:rPr>
        <w:t xml:space="preserve"> 15 punti (3 punti per ogni ulteriore attore coinvolto, es. CCIAA, associazioni, fondazioni, </w:t>
      </w:r>
      <w:r>
        <w:rPr>
          <w:rFonts w:ascii="Corbel" w:hAnsi="Corbel"/>
          <w:bCs/>
        </w:rPr>
        <w:t xml:space="preserve">imprese, </w:t>
      </w:r>
      <w:r w:rsidRPr="00E745DF">
        <w:rPr>
          <w:rFonts w:ascii="Corbel" w:hAnsi="Corbel"/>
          <w:bCs/>
        </w:rPr>
        <w:t>ecc.);</w:t>
      </w:r>
    </w:p>
    <w:p w:rsidR="00F1185D" w:rsidRDefault="00F1185D" w:rsidP="00F1185D">
      <w:pPr>
        <w:pStyle w:val="Paragrafoelenco"/>
        <w:widowControl w:val="0"/>
        <w:numPr>
          <w:ilvl w:val="0"/>
          <w:numId w:val="2"/>
        </w:numPr>
        <w:ind w:left="1276" w:hanging="283"/>
        <w:jc w:val="both"/>
        <w:rPr>
          <w:rFonts w:ascii="Corbel" w:hAnsi="Corbel"/>
          <w:bCs/>
        </w:rPr>
      </w:pPr>
      <w:proofErr w:type="gramStart"/>
      <w:r w:rsidRPr="000A2145">
        <w:rPr>
          <w:rFonts w:ascii="Corbel" w:hAnsi="Corbel"/>
          <w:bCs/>
          <w:highlight w:val="yellow"/>
        </w:rPr>
        <w:t>legame</w:t>
      </w:r>
      <w:proofErr w:type="gramEnd"/>
      <w:r w:rsidRPr="000A2145">
        <w:rPr>
          <w:rFonts w:ascii="Corbel" w:hAnsi="Corbel"/>
          <w:bCs/>
          <w:highlight w:val="yellow"/>
        </w:rPr>
        <w:t xml:space="preserve"> della manifestazione di interesse con poli tecnico-professionali, CPIA e ITS</w:t>
      </w:r>
      <w:r w:rsidRPr="00E745DF">
        <w:rPr>
          <w:rFonts w:ascii="Corbel" w:hAnsi="Corbel"/>
          <w:bCs/>
        </w:rPr>
        <w:t xml:space="preserve">: </w:t>
      </w:r>
      <w:proofErr w:type="spellStart"/>
      <w:r w:rsidRPr="00E745DF">
        <w:rPr>
          <w:rFonts w:ascii="Corbel" w:hAnsi="Corbel"/>
          <w:bCs/>
        </w:rPr>
        <w:t>max</w:t>
      </w:r>
      <w:proofErr w:type="spellEnd"/>
      <w:r w:rsidRPr="00E745DF">
        <w:rPr>
          <w:rFonts w:ascii="Corbel" w:hAnsi="Corbel"/>
          <w:bCs/>
        </w:rPr>
        <w:t xml:space="preserve"> 10 punti;</w:t>
      </w:r>
    </w:p>
    <w:p w:rsidR="00F1185D" w:rsidRDefault="00F1185D" w:rsidP="00F1185D">
      <w:pPr>
        <w:pStyle w:val="Paragrafoelenco"/>
        <w:widowControl w:val="0"/>
        <w:numPr>
          <w:ilvl w:val="0"/>
          <w:numId w:val="2"/>
        </w:numPr>
        <w:ind w:left="1276" w:hanging="283"/>
        <w:jc w:val="both"/>
        <w:rPr>
          <w:rFonts w:ascii="Corbel" w:hAnsi="Corbel"/>
          <w:bCs/>
        </w:rPr>
      </w:pPr>
      <w:proofErr w:type="gramStart"/>
      <w:r w:rsidRPr="00A5560F">
        <w:rPr>
          <w:rFonts w:ascii="Corbel" w:hAnsi="Corbel"/>
          <w:bCs/>
        </w:rPr>
        <w:t>quota</w:t>
      </w:r>
      <w:proofErr w:type="gramEnd"/>
      <w:r w:rsidRPr="00A5560F">
        <w:rPr>
          <w:rFonts w:ascii="Corbel" w:hAnsi="Corbel"/>
          <w:bCs/>
        </w:rPr>
        <w:t xml:space="preserve"> </w:t>
      </w:r>
      <w:r w:rsidRPr="000A2145">
        <w:rPr>
          <w:rFonts w:ascii="Corbel" w:hAnsi="Corbel"/>
          <w:bCs/>
          <w:highlight w:val="yellow"/>
        </w:rPr>
        <w:t>di cofinanziamento per la realizzazione del progetto</w:t>
      </w:r>
      <w:r>
        <w:rPr>
          <w:rFonts w:ascii="Corbel" w:hAnsi="Corbel"/>
          <w:bCs/>
        </w:rPr>
        <w:t>:</w:t>
      </w:r>
    </w:p>
    <w:p w:rsidR="00F1185D" w:rsidRDefault="00F1185D" w:rsidP="00F1185D">
      <w:pPr>
        <w:pStyle w:val="Paragrafoelenco"/>
        <w:widowControl w:val="0"/>
        <w:numPr>
          <w:ilvl w:val="0"/>
          <w:numId w:val="1"/>
        </w:numPr>
        <w:ind w:left="1560" w:hanging="284"/>
        <w:jc w:val="both"/>
        <w:rPr>
          <w:rFonts w:ascii="Corbel" w:hAnsi="Corbel"/>
          <w:bCs/>
        </w:rPr>
      </w:pPr>
      <w:proofErr w:type="gramStart"/>
      <w:r w:rsidRPr="00E745DF">
        <w:rPr>
          <w:rFonts w:ascii="Corbel" w:hAnsi="Corbel"/>
          <w:bCs/>
        </w:rPr>
        <w:t>fino</w:t>
      </w:r>
      <w:proofErr w:type="gramEnd"/>
      <w:r w:rsidRPr="00E745DF">
        <w:rPr>
          <w:rFonts w:ascii="Corbel" w:hAnsi="Corbel"/>
          <w:bCs/>
        </w:rPr>
        <w:t xml:space="preserve"> al 15%: </w:t>
      </w:r>
      <w:proofErr w:type="spellStart"/>
      <w:r w:rsidRPr="00E745DF">
        <w:rPr>
          <w:rFonts w:ascii="Corbel" w:hAnsi="Corbel"/>
          <w:bCs/>
        </w:rPr>
        <w:t>max</w:t>
      </w:r>
      <w:proofErr w:type="spellEnd"/>
      <w:r w:rsidRPr="00E745DF">
        <w:rPr>
          <w:rFonts w:ascii="Corbel" w:hAnsi="Corbel"/>
          <w:bCs/>
        </w:rPr>
        <w:t xml:space="preserve"> 5 punti;</w:t>
      </w:r>
    </w:p>
    <w:p w:rsidR="00F1185D" w:rsidRDefault="00F1185D" w:rsidP="00F1185D">
      <w:pPr>
        <w:pStyle w:val="Paragrafoelenco"/>
        <w:widowControl w:val="0"/>
        <w:numPr>
          <w:ilvl w:val="0"/>
          <w:numId w:val="1"/>
        </w:numPr>
        <w:ind w:left="1560" w:hanging="284"/>
        <w:jc w:val="both"/>
        <w:rPr>
          <w:rFonts w:ascii="Corbel" w:hAnsi="Corbel"/>
          <w:bCs/>
        </w:rPr>
      </w:pPr>
      <w:proofErr w:type="gramStart"/>
      <w:r w:rsidRPr="00E745DF">
        <w:rPr>
          <w:rFonts w:ascii="Corbel" w:hAnsi="Corbel"/>
          <w:bCs/>
        </w:rPr>
        <w:t>dall</w:t>
      </w:r>
      <w:proofErr w:type="gramEnd"/>
      <w:r w:rsidRPr="00E745DF">
        <w:rPr>
          <w:rFonts w:ascii="Corbel" w:hAnsi="Corbel"/>
          <w:bCs/>
        </w:rPr>
        <w:t xml:space="preserve">’16% al 30%: </w:t>
      </w:r>
      <w:proofErr w:type="spellStart"/>
      <w:r w:rsidRPr="00E745DF">
        <w:rPr>
          <w:rFonts w:ascii="Corbel" w:hAnsi="Corbel"/>
          <w:bCs/>
        </w:rPr>
        <w:t>max</w:t>
      </w:r>
      <w:proofErr w:type="spellEnd"/>
      <w:r w:rsidRPr="00E745DF">
        <w:rPr>
          <w:rFonts w:ascii="Corbel" w:hAnsi="Corbel"/>
          <w:bCs/>
        </w:rPr>
        <w:t xml:space="preserve"> 10 punti;</w:t>
      </w:r>
    </w:p>
    <w:p w:rsidR="00F1185D" w:rsidRDefault="00F1185D" w:rsidP="00F1185D">
      <w:pPr>
        <w:pStyle w:val="Paragrafoelenco"/>
        <w:widowControl w:val="0"/>
        <w:numPr>
          <w:ilvl w:val="0"/>
          <w:numId w:val="1"/>
        </w:numPr>
        <w:ind w:left="1560" w:hanging="284"/>
        <w:jc w:val="both"/>
        <w:rPr>
          <w:rFonts w:ascii="Corbel" w:hAnsi="Corbel"/>
          <w:bCs/>
        </w:rPr>
      </w:pPr>
      <w:proofErr w:type="gramStart"/>
      <w:r w:rsidRPr="00E745DF">
        <w:rPr>
          <w:rFonts w:ascii="Corbel" w:hAnsi="Corbel"/>
          <w:bCs/>
        </w:rPr>
        <w:t>dal</w:t>
      </w:r>
      <w:proofErr w:type="gramEnd"/>
      <w:r w:rsidRPr="00E745DF">
        <w:rPr>
          <w:rFonts w:ascii="Corbel" w:hAnsi="Corbel"/>
          <w:bCs/>
        </w:rPr>
        <w:t xml:space="preserve"> 31% al 50%: </w:t>
      </w:r>
      <w:proofErr w:type="spellStart"/>
      <w:r w:rsidRPr="00E745DF">
        <w:rPr>
          <w:rFonts w:ascii="Corbel" w:hAnsi="Corbel"/>
          <w:bCs/>
        </w:rPr>
        <w:t>max</w:t>
      </w:r>
      <w:proofErr w:type="spellEnd"/>
      <w:r w:rsidRPr="00E745DF">
        <w:rPr>
          <w:rFonts w:ascii="Corbel" w:hAnsi="Corbel"/>
          <w:bCs/>
        </w:rPr>
        <w:t xml:space="preserve"> 15 punti;</w:t>
      </w:r>
    </w:p>
    <w:p w:rsidR="00F1185D" w:rsidRPr="00E745DF" w:rsidRDefault="00F1185D" w:rsidP="00F1185D">
      <w:pPr>
        <w:pStyle w:val="Paragrafoelenco"/>
        <w:widowControl w:val="0"/>
        <w:numPr>
          <w:ilvl w:val="0"/>
          <w:numId w:val="1"/>
        </w:numPr>
        <w:ind w:left="1560" w:hanging="284"/>
        <w:jc w:val="both"/>
        <w:rPr>
          <w:rFonts w:ascii="Corbel" w:hAnsi="Corbel"/>
          <w:bCs/>
        </w:rPr>
      </w:pPr>
      <w:proofErr w:type="gramStart"/>
      <w:r w:rsidRPr="00E745DF">
        <w:rPr>
          <w:rFonts w:ascii="Corbel" w:hAnsi="Corbel"/>
          <w:bCs/>
        </w:rPr>
        <w:t>oltre</w:t>
      </w:r>
      <w:proofErr w:type="gramEnd"/>
      <w:r w:rsidRPr="00E745DF">
        <w:rPr>
          <w:rFonts w:ascii="Corbel" w:hAnsi="Corbel"/>
          <w:bCs/>
        </w:rPr>
        <w:t xml:space="preserve"> il 51%: </w:t>
      </w:r>
      <w:proofErr w:type="spellStart"/>
      <w:r w:rsidRPr="00E745DF">
        <w:rPr>
          <w:rFonts w:ascii="Corbel" w:hAnsi="Corbel"/>
          <w:bCs/>
        </w:rPr>
        <w:t>max</w:t>
      </w:r>
      <w:proofErr w:type="spellEnd"/>
      <w:r w:rsidRPr="00E745DF">
        <w:rPr>
          <w:rFonts w:ascii="Corbel" w:hAnsi="Corbel"/>
          <w:bCs/>
        </w:rPr>
        <w:t xml:space="preserve"> 20 punti.</w:t>
      </w:r>
    </w:p>
    <w:p w:rsidR="00F1185D" w:rsidRDefault="00F1185D" w:rsidP="00F1185D">
      <w:pPr>
        <w:pStyle w:val="Paragrafoelenco"/>
        <w:widowControl w:val="0"/>
        <w:numPr>
          <w:ilvl w:val="0"/>
          <w:numId w:val="2"/>
        </w:numPr>
        <w:ind w:left="1276" w:hanging="283"/>
        <w:jc w:val="both"/>
        <w:rPr>
          <w:rFonts w:ascii="Corbel" w:hAnsi="Corbel"/>
          <w:bCs/>
        </w:rPr>
      </w:pPr>
      <w:proofErr w:type="gramStart"/>
      <w:r w:rsidRPr="000A2145">
        <w:rPr>
          <w:rFonts w:ascii="Corbel" w:hAnsi="Corbel"/>
          <w:bCs/>
          <w:highlight w:val="yellow"/>
        </w:rPr>
        <w:t>coinvolgimento</w:t>
      </w:r>
      <w:proofErr w:type="gramEnd"/>
      <w:r w:rsidRPr="000A2145">
        <w:rPr>
          <w:rFonts w:ascii="Corbel" w:hAnsi="Corbel"/>
          <w:bCs/>
          <w:highlight w:val="yellow"/>
        </w:rPr>
        <w:t xml:space="preserve"> di altre istituzioni scolastiche ed educative all’interno della rete e quindi dei relativi studenti</w:t>
      </w:r>
      <w:r w:rsidRPr="00E745DF">
        <w:rPr>
          <w:rFonts w:ascii="Corbel" w:hAnsi="Corbel"/>
          <w:bCs/>
        </w:rPr>
        <w:t>: 3 punti fino a un massimo 9 punti;</w:t>
      </w:r>
    </w:p>
    <w:p w:rsidR="00F1185D" w:rsidRPr="00E745DF" w:rsidRDefault="00F1185D" w:rsidP="00F1185D">
      <w:pPr>
        <w:pStyle w:val="Paragrafoelenco"/>
        <w:widowControl w:val="0"/>
        <w:numPr>
          <w:ilvl w:val="0"/>
          <w:numId w:val="2"/>
        </w:numPr>
        <w:ind w:left="1276" w:hanging="283"/>
        <w:jc w:val="both"/>
        <w:rPr>
          <w:rFonts w:ascii="Corbel" w:hAnsi="Corbel"/>
          <w:bCs/>
        </w:rPr>
      </w:pPr>
      <w:proofErr w:type="gramStart"/>
      <w:r w:rsidRPr="000A2145">
        <w:rPr>
          <w:rFonts w:ascii="Corbel" w:hAnsi="Corbel"/>
          <w:bCs/>
          <w:highlight w:val="yellow"/>
        </w:rPr>
        <w:t>coinvolgimento</w:t>
      </w:r>
      <w:proofErr w:type="gramEnd"/>
      <w:r w:rsidRPr="000A2145">
        <w:rPr>
          <w:rFonts w:ascii="Corbel" w:hAnsi="Corbel"/>
          <w:bCs/>
          <w:highlight w:val="yellow"/>
        </w:rPr>
        <w:t xml:space="preserve"> di almeno una istituzione scolastica del primo ciclo</w:t>
      </w:r>
      <w:r w:rsidRPr="00E745DF">
        <w:rPr>
          <w:rFonts w:ascii="Corbel" w:hAnsi="Corbel"/>
          <w:bCs/>
        </w:rPr>
        <w:t>: 6 punti</w:t>
      </w:r>
      <w:r>
        <w:rPr>
          <w:rFonts w:ascii="Corbel" w:hAnsi="Corbel"/>
          <w:bCs/>
        </w:rPr>
        <w:t>.</w:t>
      </w:r>
    </w:p>
    <w:p w:rsidR="00F1185D" w:rsidRDefault="00F1185D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Nel merito, il coinvolgimento attivo delle istituzioni scolastiche e il ruolo da ciascuna svolto nell’ambito della rete sarà oggetto di valutazione nella seconda fase della procedura.</w:t>
      </w:r>
    </w:p>
    <w:p w:rsidR="00F1185D" w:rsidRPr="00696202" w:rsidRDefault="00F1185D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>
        <w:rPr>
          <w:rFonts w:ascii="Corbel" w:eastAsia="Times New Roman" w:hAnsi="Corbel" w:cs="Times New Roman"/>
          <w:bCs/>
          <w:sz w:val="24"/>
          <w:szCs w:val="24"/>
        </w:rPr>
        <w:t>Terminato l’esame delle proposte pervenute,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la Commissione procederà a </w:t>
      </w:r>
      <w:r>
        <w:rPr>
          <w:rFonts w:ascii="Corbel" w:eastAsia="Times New Roman" w:hAnsi="Corbel" w:cs="Times New Roman"/>
          <w:bCs/>
          <w:sz w:val="24"/>
          <w:szCs w:val="24"/>
        </w:rPr>
        <w:t>redigere una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graduatoria in ordine decrescente ammettendo alla seconda fase della procedura le 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prime 150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manifestazioni di interesse </w:t>
      </w:r>
      <w:r>
        <w:rPr>
          <w:rFonts w:ascii="Corbel" w:eastAsia="Times New Roman" w:hAnsi="Corbel" w:cs="Times New Roman"/>
          <w:bCs/>
          <w:sz w:val="24"/>
          <w:szCs w:val="24"/>
        </w:rPr>
        <w:t>inserite nella suddetta graduatoria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>.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 Nel caso in cui più candidati abbiano il medesimo punteggio utile a ricoprire l’ultima posizione in graduatoria, saranno ammessi tutti alla successiva fase della procedura.</w:t>
      </w:r>
    </w:p>
    <w:p w:rsidR="00F1185D" w:rsidRDefault="00F1185D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Le reti 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di scuole 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ammesse al prosieguo della selezione riceveranno comunicazione a mezzo </w:t>
      </w:r>
      <w:r>
        <w:rPr>
          <w:rFonts w:ascii="Corbel" w:eastAsia="Times New Roman" w:hAnsi="Corbel" w:cs="Times New Roman"/>
          <w:bCs/>
          <w:sz w:val="24"/>
          <w:szCs w:val="24"/>
        </w:rPr>
        <w:t>PEC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da parte della Direzione generale</w:t>
      </w:r>
      <w:r>
        <w:rPr>
          <w:rFonts w:ascii="Corbel" w:eastAsia="Times New Roman" w:hAnsi="Corbel" w:cs="Times New Roman"/>
          <w:bCs/>
          <w:sz w:val="24"/>
          <w:szCs w:val="24"/>
        </w:rPr>
        <w:t xml:space="preserve"> per interventi in materia di edilizia scolastica, per la gestione dei fondi strutturali per l’istruzione e per l’innovazione digitale</w:t>
      </w:r>
      <w:r w:rsidRPr="00696202">
        <w:rPr>
          <w:rFonts w:ascii="Corbel" w:eastAsia="Times New Roman" w:hAnsi="Corbel" w:cs="Times New Roman"/>
          <w:bCs/>
          <w:sz w:val="24"/>
          <w:szCs w:val="24"/>
        </w:rPr>
        <w:t xml:space="preserve"> contenente l’invito alla seconda fase della procedura con l’indicazione dei termini e delle modalità di partecipazione.</w:t>
      </w:r>
    </w:p>
    <w:p w:rsidR="000A2145" w:rsidRDefault="000A2145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0A2145" w:rsidRDefault="000A2145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0A2145" w:rsidRDefault="000A2145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0A2145" w:rsidRDefault="000A2145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0A2145" w:rsidRDefault="000A2145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0A2145" w:rsidRDefault="000A2145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0A2145" w:rsidRDefault="000A2145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0A2145" w:rsidRDefault="000A2145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0A2145" w:rsidRDefault="000A2145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0A2145" w:rsidRDefault="000A2145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0A2145" w:rsidRDefault="000A2145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0A2145" w:rsidRDefault="000A2145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p w:rsidR="000A2145" w:rsidRPr="00696202" w:rsidRDefault="000A2145" w:rsidP="00F1185D">
      <w:pPr>
        <w:widowControl w:val="0"/>
        <w:spacing w:after="0" w:line="240" w:lineRule="auto"/>
        <w:ind w:firstLine="708"/>
        <w:jc w:val="both"/>
        <w:rPr>
          <w:rFonts w:ascii="Corbel" w:eastAsia="Times New Roman" w:hAnsi="Corbel" w:cs="Times New Roman"/>
          <w:b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8"/>
        <w:gridCol w:w="3825"/>
        <w:gridCol w:w="2407"/>
        <w:gridCol w:w="2408"/>
      </w:tblGrid>
      <w:tr w:rsidR="000A2145" w:rsidRPr="000A2145" w:rsidTr="000A2145">
        <w:tc>
          <w:tcPr>
            <w:tcW w:w="988" w:type="dxa"/>
          </w:tcPr>
          <w:p w:rsidR="000A2145" w:rsidRPr="000A2145" w:rsidRDefault="000A2145">
            <w:pPr>
              <w:rPr>
                <w:b/>
              </w:rPr>
            </w:pPr>
            <w:bookmarkStart w:id="0" w:name="_GoBack"/>
            <w:proofErr w:type="gramStart"/>
            <w:r w:rsidRPr="000A2145">
              <w:rPr>
                <w:b/>
              </w:rPr>
              <w:lastRenderedPageBreak/>
              <w:t>elenco</w:t>
            </w:r>
            <w:proofErr w:type="gramEnd"/>
          </w:p>
        </w:tc>
        <w:tc>
          <w:tcPr>
            <w:tcW w:w="3825" w:type="dxa"/>
          </w:tcPr>
          <w:p w:rsidR="000A2145" w:rsidRPr="000A2145" w:rsidRDefault="000A2145">
            <w:pPr>
              <w:rPr>
                <w:rFonts w:ascii="Corbel" w:hAnsi="Corbel"/>
                <w:b/>
                <w:bCs/>
                <w:highlight w:val="yellow"/>
              </w:rPr>
            </w:pPr>
            <w:proofErr w:type="gramStart"/>
            <w:r w:rsidRPr="000A2145">
              <w:rPr>
                <w:rFonts w:ascii="Corbel" w:hAnsi="Corbel"/>
                <w:b/>
                <w:bCs/>
                <w:highlight w:val="yellow"/>
              </w:rPr>
              <w:t>oggetto</w:t>
            </w:r>
            <w:proofErr w:type="gramEnd"/>
          </w:p>
        </w:tc>
        <w:tc>
          <w:tcPr>
            <w:tcW w:w="2407" w:type="dxa"/>
          </w:tcPr>
          <w:p w:rsidR="000A2145" w:rsidRPr="000A2145" w:rsidRDefault="000A2145">
            <w:pPr>
              <w:rPr>
                <w:b/>
              </w:rPr>
            </w:pPr>
            <w:r w:rsidRPr="000A2145">
              <w:rPr>
                <w:b/>
              </w:rPr>
              <w:t>Punteggio minimo</w:t>
            </w:r>
          </w:p>
        </w:tc>
        <w:tc>
          <w:tcPr>
            <w:tcW w:w="2408" w:type="dxa"/>
          </w:tcPr>
          <w:p w:rsidR="000A2145" w:rsidRPr="000A2145" w:rsidRDefault="000A2145">
            <w:pPr>
              <w:rPr>
                <w:b/>
              </w:rPr>
            </w:pPr>
            <w:r w:rsidRPr="000A2145">
              <w:rPr>
                <w:b/>
              </w:rPr>
              <w:t>Punteggio massimo</w:t>
            </w:r>
          </w:p>
        </w:tc>
      </w:tr>
      <w:bookmarkEnd w:id="0"/>
      <w:tr w:rsidR="000A2145" w:rsidTr="000A2145">
        <w:tc>
          <w:tcPr>
            <w:tcW w:w="988" w:type="dxa"/>
          </w:tcPr>
          <w:p w:rsidR="000A2145" w:rsidRDefault="000A2145">
            <w:r>
              <w:t>1</w:t>
            </w:r>
          </w:p>
        </w:tc>
        <w:tc>
          <w:tcPr>
            <w:tcW w:w="3825" w:type="dxa"/>
          </w:tcPr>
          <w:p w:rsidR="000A2145" w:rsidRDefault="000A2145">
            <w:proofErr w:type="gramStart"/>
            <w:r w:rsidRPr="000A2145">
              <w:rPr>
                <w:rFonts w:ascii="Corbel" w:hAnsi="Corbel"/>
                <w:bCs/>
                <w:highlight w:val="yellow"/>
              </w:rPr>
              <w:t>favorire</w:t>
            </w:r>
            <w:proofErr w:type="gramEnd"/>
            <w:r w:rsidRPr="000A2145">
              <w:rPr>
                <w:rFonts w:ascii="Corbel" w:hAnsi="Corbel"/>
                <w:bCs/>
                <w:highlight w:val="yellow"/>
              </w:rPr>
              <w:t xml:space="preserve"> il rapporto con il mondo del lavoro e con la vocazione produttiva del territorio e contrastare fenomeni di dispersione scolastica</w:t>
            </w:r>
            <w:r>
              <w:rPr>
                <w:rFonts w:ascii="Corbel" w:hAnsi="Corbel"/>
                <w:bCs/>
              </w:rPr>
              <w:t xml:space="preserve">, con particolare </w:t>
            </w:r>
            <w:r w:rsidRPr="000A2145">
              <w:rPr>
                <w:rFonts w:ascii="Corbel" w:hAnsi="Corbel"/>
                <w:bCs/>
                <w:highlight w:val="yellow"/>
              </w:rPr>
              <w:t>attenzione alle competenze da sviluppare</w:t>
            </w:r>
          </w:p>
        </w:tc>
        <w:tc>
          <w:tcPr>
            <w:tcW w:w="2407" w:type="dxa"/>
          </w:tcPr>
          <w:p w:rsidR="000A2145" w:rsidRDefault="000A2145">
            <w:proofErr w:type="spellStart"/>
            <w:proofErr w:type="gramStart"/>
            <w:r>
              <w:t>min</w:t>
            </w:r>
            <w:proofErr w:type="spellEnd"/>
            <w:proofErr w:type="gramEnd"/>
          </w:p>
        </w:tc>
        <w:tc>
          <w:tcPr>
            <w:tcW w:w="2408" w:type="dxa"/>
          </w:tcPr>
          <w:p w:rsidR="000A2145" w:rsidRDefault="000A2145">
            <w:proofErr w:type="spellStart"/>
            <w:r>
              <w:t>Max</w:t>
            </w:r>
            <w:proofErr w:type="spellEnd"/>
          </w:p>
          <w:p w:rsidR="000A2145" w:rsidRDefault="000A2145"/>
          <w:p w:rsidR="000A2145" w:rsidRDefault="000A2145">
            <w:r>
              <w:t>20 punti</w:t>
            </w:r>
          </w:p>
        </w:tc>
      </w:tr>
      <w:tr w:rsidR="000A2145" w:rsidTr="000A2145">
        <w:tc>
          <w:tcPr>
            <w:tcW w:w="988" w:type="dxa"/>
          </w:tcPr>
          <w:p w:rsidR="000A2145" w:rsidRDefault="000A2145">
            <w:r>
              <w:t>2</w:t>
            </w:r>
          </w:p>
        </w:tc>
        <w:tc>
          <w:tcPr>
            <w:tcW w:w="3825" w:type="dxa"/>
          </w:tcPr>
          <w:p w:rsidR="000A2145" w:rsidRDefault="000A2145">
            <w:proofErr w:type="gramStart"/>
            <w:r w:rsidRPr="000A2145">
              <w:rPr>
                <w:rFonts w:ascii="Corbel" w:hAnsi="Corbel"/>
                <w:bCs/>
                <w:highlight w:val="yellow"/>
              </w:rPr>
              <w:t>innovatività</w:t>
            </w:r>
            <w:proofErr w:type="gramEnd"/>
            <w:r w:rsidRPr="000A2145">
              <w:rPr>
                <w:rFonts w:ascii="Corbel" w:hAnsi="Corbel"/>
                <w:bCs/>
                <w:highlight w:val="yellow"/>
              </w:rPr>
              <w:t xml:space="preserve"> della proposta e apertura al territorio</w:t>
            </w:r>
          </w:p>
        </w:tc>
        <w:tc>
          <w:tcPr>
            <w:tcW w:w="2407" w:type="dxa"/>
          </w:tcPr>
          <w:p w:rsidR="000A2145" w:rsidRDefault="000A2145"/>
        </w:tc>
        <w:tc>
          <w:tcPr>
            <w:tcW w:w="2408" w:type="dxa"/>
          </w:tcPr>
          <w:p w:rsidR="000A2145" w:rsidRDefault="000A2145">
            <w:r>
              <w:t>20 punti</w:t>
            </w:r>
          </w:p>
        </w:tc>
      </w:tr>
      <w:tr w:rsidR="000A2145" w:rsidTr="000A2145">
        <w:tc>
          <w:tcPr>
            <w:tcW w:w="988" w:type="dxa"/>
          </w:tcPr>
          <w:p w:rsidR="000A2145" w:rsidRDefault="000A2145">
            <w:r>
              <w:t>3</w:t>
            </w:r>
          </w:p>
        </w:tc>
        <w:tc>
          <w:tcPr>
            <w:tcW w:w="3825" w:type="dxa"/>
          </w:tcPr>
          <w:p w:rsidR="000A2145" w:rsidRDefault="000A2145">
            <w:proofErr w:type="gramStart"/>
            <w:r w:rsidRPr="000A2145">
              <w:rPr>
                <w:rFonts w:ascii="Corbel" w:hAnsi="Corbel"/>
                <w:bCs/>
                <w:highlight w:val="yellow"/>
              </w:rPr>
              <w:t>coinvolgimento</w:t>
            </w:r>
            <w:proofErr w:type="gramEnd"/>
            <w:r w:rsidRPr="000A2145">
              <w:rPr>
                <w:rFonts w:ascii="Corbel" w:hAnsi="Corbel"/>
                <w:bCs/>
                <w:highlight w:val="yellow"/>
              </w:rPr>
              <w:t xml:space="preserve"> di ulteriori attori del territorio</w:t>
            </w:r>
          </w:p>
        </w:tc>
        <w:tc>
          <w:tcPr>
            <w:tcW w:w="2407" w:type="dxa"/>
          </w:tcPr>
          <w:p w:rsidR="000A2145" w:rsidRDefault="000A2145"/>
        </w:tc>
        <w:tc>
          <w:tcPr>
            <w:tcW w:w="2408" w:type="dxa"/>
          </w:tcPr>
          <w:p w:rsidR="000A2145" w:rsidRDefault="000A2145">
            <w:r>
              <w:t>15 punti</w:t>
            </w:r>
          </w:p>
        </w:tc>
      </w:tr>
      <w:tr w:rsidR="000A2145" w:rsidTr="000A2145">
        <w:tc>
          <w:tcPr>
            <w:tcW w:w="988" w:type="dxa"/>
          </w:tcPr>
          <w:p w:rsidR="000A2145" w:rsidRDefault="000A2145">
            <w:r>
              <w:t>4</w:t>
            </w:r>
          </w:p>
        </w:tc>
        <w:tc>
          <w:tcPr>
            <w:tcW w:w="3825" w:type="dxa"/>
          </w:tcPr>
          <w:p w:rsidR="000A2145" w:rsidRDefault="000A2145">
            <w:proofErr w:type="gramStart"/>
            <w:r w:rsidRPr="000A2145">
              <w:rPr>
                <w:rFonts w:ascii="Corbel" w:hAnsi="Corbel"/>
                <w:bCs/>
                <w:highlight w:val="yellow"/>
              </w:rPr>
              <w:t>legame</w:t>
            </w:r>
            <w:proofErr w:type="gramEnd"/>
            <w:r w:rsidRPr="000A2145">
              <w:rPr>
                <w:rFonts w:ascii="Corbel" w:hAnsi="Corbel"/>
                <w:bCs/>
                <w:highlight w:val="yellow"/>
              </w:rPr>
              <w:t xml:space="preserve"> della manifestazione di interesse con poli tecnico-professionali, CPIA e ITS</w:t>
            </w:r>
          </w:p>
        </w:tc>
        <w:tc>
          <w:tcPr>
            <w:tcW w:w="2407" w:type="dxa"/>
          </w:tcPr>
          <w:p w:rsidR="000A2145" w:rsidRDefault="000A2145"/>
        </w:tc>
        <w:tc>
          <w:tcPr>
            <w:tcW w:w="2408" w:type="dxa"/>
          </w:tcPr>
          <w:p w:rsidR="000A2145" w:rsidRDefault="000A2145">
            <w:r>
              <w:t>10 punti</w:t>
            </w:r>
          </w:p>
        </w:tc>
      </w:tr>
      <w:tr w:rsidR="000A2145" w:rsidTr="000A2145">
        <w:tc>
          <w:tcPr>
            <w:tcW w:w="988" w:type="dxa"/>
          </w:tcPr>
          <w:p w:rsidR="000A2145" w:rsidRDefault="000A2145">
            <w:r>
              <w:t>5</w:t>
            </w:r>
          </w:p>
        </w:tc>
        <w:tc>
          <w:tcPr>
            <w:tcW w:w="3825" w:type="dxa"/>
          </w:tcPr>
          <w:p w:rsidR="000A2145" w:rsidRDefault="000A2145">
            <w:proofErr w:type="gramStart"/>
            <w:r w:rsidRPr="00A5560F">
              <w:rPr>
                <w:rFonts w:ascii="Corbel" w:hAnsi="Corbel"/>
                <w:bCs/>
              </w:rPr>
              <w:t>quota</w:t>
            </w:r>
            <w:proofErr w:type="gramEnd"/>
            <w:r w:rsidRPr="00A5560F">
              <w:rPr>
                <w:rFonts w:ascii="Corbel" w:hAnsi="Corbel"/>
                <w:bCs/>
              </w:rPr>
              <w:t xml:space="preserve"> </w:t>
            </w:r>
            <w:r w:rsidRPr="000A2145">
              <w:rPr>
                <w:rFonts w:ascii="Corbel" w:hAnsi="Corbel"/>
                <w:bCs/>
                <w:highlight w:val="yellow"/>
              </w:rPr>
              <w:t>di cofinanziamento per la realizzazione del progetto</w:t>
            </w:r>
          </w:p>
        </w:tc>
        <w:tc>
          <w:tcPr>
            <w:tcW w:w="2407" w:type="dxa"/>
          </w:tcPr>
          <w:p w:rsidR="000A2145" w:rsidRDefault="000A2145"/>
        </w:tc>
        <w:tc>
          <w:tcPr>
            <w:tcW w:w="2408" w:type="dxa"/>
          </w:tcPr>
          <w:p w:rsidR="000A2145" w:rsidRDefault="000A2145" w:rsidP="000A2145">
            <w:pPr>
              <w:pStyle w:val="Paragrafoelenco"/>
              <w:widowControl w:val="0"/>
              <w:numPr>
                <w:ilvl w:val="0"/>
                <w:numId w:val="1"/>
              </w:numPr>
              <w:ind w:left="486" w:hanging="324"/>
              <w:jc w:val="both"/>
              <w:rPr>
                <w:rFonts w:ascii="Corbel" w:hAnsi="Corbel"/>
                <w:bCs/>
              </w:rPr>
            </w:pPr>
            <w:proofErr w:type="gramStart"/>
            <w:r w:rsidRPr="00E745DF">
              <w:rPr>
                <w:rFonts w:ascii="Corbel" w:hAnsi="Corbel"/>
                <w:bCs/>
              </w:rPr>
              <w:t>fino</w:t>
            </w:r>
            <w:proofErr w:type="gramEnd"/>
            <w:r w:rsidRPr="00E745DF">
              <w:rPr>
                <w:rFonts w:ascii="Corbel" w:hAnsi="Corbel"/>
                <w:bCs/>
              </w:rPr>
              <w:t xml:space="preserve"> al 15%: </w:t>
            </w:r>
            <w:proofErr w:type="spellStart"/>
            <w:r w:rsidRPr="00E745DF">
              <w:rPr>
                <w:rFonts w:ascii="Corbel" w:hAnsi="Corbel"/>
                <w:bCs/>
              </w:rPr>
              <w:t>max</w:t>
            </w:r>
            <w:proofErr w:type="spellEnd"/>
            <w:r w:rsidRPr="00E745DF">
              <w:rPr>
                <w:rFonts w:ascii="Corbel" w:hAnsi="Corbel"/>
                <w:bCs/>
              </w:rPr>
              <w:t xml:space="preserve"> 5 punti;</w:t>
            </w:r>
          </w:p>
          <w:p w:rsidR="000A2145" w:rsidRDefault="000A2145" w:rsidP="000A2145">
            <w:pPr>
              <w:pStyle w:val="Paragrafoelenco"/>
              <w:widowControl w:val="0"/>
              <w:numPr>
                <w:ilvl w:val="0"/>
                <w:numId w:val="1"/>
              </w:numPr>
              <w:ind w:left="486" w:hanging="324"/>
              <w:jc w:val="both"/>
              <w:rPr>
                <w:rFonts w:ascii="Corbel" w:hAnsi="Corbel"/>
                <w:bCs/>
              </w:rPr>
            </w:pPr>
            <w:proofErr w:type="gramStart"/>
            <w:r w:rsidRPr="00E745DF">
              <w:rPr>
                <w:rFonts w:ascii="Corbel" w:hAnsi="Corbel"/>
                <w:bCs/>
              </w:rPr>
              <w:t>dall</w:t>
            </w:r>
            <w:proofErr w:type="gramEnd"/>
            <w:r w:rsidRPr="00E745DF">
              <w:rPr>
                <w:rFonts w:ascii="Corbel" w:hAnsi="Corbel"/>
                <w:bCs/>
              </w:rPr>
              <w:t xml:space="preserve">’16% al 30%: </w:t>
            </w:r>
            <w:proofErr w:type="spellStart"/>
            <w:r w:rsidRPr="00E745DF">
              <w:rPr>
                <w:rFonts w:ascii="Corbel" w:hAnsi="Corbel"/>
                <w:bCs/>
              </w:rPr>
              <w:t>max</w:t>
            </w:r>
            <w:proofErr w:type="spellEnd"/>
            <w:r w:rsidRPr="00E745DF">
              <w:rPr>
                <w:rFonts w:ascii="Corbel" w:hAnsi="Corbel"/>
                <w:bCs/>
              </w:rPr>
              <w:t xml:space="preserve"> 10 punti;</w:t>
            </w:r>
          </w:p>
          <w:p w:rsidR="000A2145" w:rsidRDefault="000A2145" w:rsidP="000A2145">
            <w:pPr>
              <w:pStyle w:val="Paragrafoelenco"/>
              <w:widowControl w:val="0"/>
              <w:numPr>
                <w:ilvl w:val="0"/>
                <w:numId w:val="1"/>
              </w:numPr>
              <w:ind w:left="486" w:hanging="324"/>
              <w:jc w:val="both"/>
              <w:rPr>
                <w:rFonts w:ascii="Corbel" w:hAnsi="Corbel"/>
                <w:bCs/>
              </w:rPr>
            </w:pPr>
            <w:proofErr w:type="gramStart"/>
            <w:r w:rsidRPr="00E745DF">
              <w:rPr>
                <w:rFonts w:ascii="Corbel" w:hAnsi="Corbel"/>
                <w:bCs/>
              </w:rPr>
              <w:t>dal</w:t>
            </w:r>
            <w:proofErr w:type="gramEnd"/>
            <w:r w:rsidRPr="00E745DF">
              <w:rPr>
                <w:rFonts w:ascii="Corbel" w:hAnsi="Corbel"/>
                <w:bCs/>
              </w:rPr>
              <w:t xml:space="preserve"> 31% al 50%: </w:t>
            </w:r>
            <w:proofErr w:type="spellStart"/>
            <w:r w:rsidRPr="00E745DF">
              <w:rPr>
                <w:rFonts w:ascii="Corbel" w:hAnsi="Corbel"/>
                <w:bCs/>
              </w:rPr>
              <w:t>max</w:t>
            </w:r>
            <w:proofErr w:type="spellEnd"/>
            <w:r w:rsidRPr="00E745DF">
              <w:rPr>
                <w:rFonts w:ascii="Corbel" w:hAnsi="Corbel"/>
                <w:bCs/>
              </w:rPr>
              <w:t xml:space="preserve"> 15 punti;</w:t>
            </w:r>
          </w:p>
          <w:p w:rsidR="000A2145" w:rsidRPr="00E745DF" w:rsidRDefault="000A2145" w:rsidP="000A2145">
            <w:pPr>
              <w:pStyle w:val="Paragrafoelenco"/>
              <w:widowControl w:val="0"/>
              <w:numPr>
                <w:ilvl w:val="0"/>
                <w:numId w:val="1"/>
              </w:numPr>
              <w:ind w:left="486" w:hanging="324"/>
              <w:jc w:val="both"/>
              <w:rPr>
                <w:rFonts w:ascii="Corbel" w:hAnsi="Corbel"/>
                <w:bCs/>
              </w:rPr>
            </w:pPr>
            <w:proofErr w:type="gramStart"/>
            <w:r w:rsidRPr="00E745DF">
              <w:rPr>
                <w:rFonts w:ascii="Corbel" w:hAnsi="Corbel"/>
                <w:bCs/>
              </w:rPr>
              <w:t>oltre</w:t>
            </w:r>
            <w:proofErr w:type="gramEnd"/>
            <w:r w:rsidRPr="00E745DF">
              <w:rPr>
                <w:rFonts w:ascii="Corbel" w:hAnsi="Corbel"/>
                <w:bCs/>
              </w:rPr>
              <w:t xml:space="preserve"> il 51%: </w:t>
            </w:r>
            <w:proofErr w:type="spellStart"/>
            <w:r w:rsidRPr="00E745DF">
              <w:rPr>
                <w:rFonts w:ascii="Corbel" w:hAnsi="Corbel"/>
                <w:bCs/>
              </w:rPr>
              <w:t>max</w:t>
            </w:r>
            <w:proofErr w:type="spellEnd"/>
            <w:r w:rsidRPr="00E745DF">
              <w:rPr>
                <w:rFonts w:ascii="Corbel" w:hAnsi="Corbel"/>
                <w:bCs/>
              </w:rPr>
              <w:t xml:space="preserve"> 20 punti.</w:t>
            </w:r>
          </w:p>
          <w:p w:rsidR="000A2145" w:rsidRDefault="000A2145"/>
        </w:tc>
      </w:tr>
      <w:tr w:rsidR="000A2145" w:rsidTr="000A2145">
        <w:tc>
          <w:tcPr>
            <w:tcW w:w="988" w:type="dxa"/>
          </w:tcPr>
          <w:p w:rsidR="000A2145" w:rsidRDefault="000A2145">
            <w:r>
              <w:t>6</w:t>
            </w:r>
          </w:p>
        </w:tc>
        <w:tc>
          <w:tcPr>
            <w:tcW w:w="3825" w:type="dxa"/>
          </w:tcPr>
          <w:p w:rsidR="000A2145" w:rsidRDefault="000A2145">
            <w:proofErr w:type="gramStart"/>
            <w:r w:rsidRPr="000A2145">
              <w:rPr>
                <w:rFonts w:ascii="Corbel" w:hAnsi="Corbel"/>
                <w:bCs/>
                <w:highlight w:val="yellow"/>
              </w:rPr>
              <w:t>coinvolgimento</w:t>
            </w:r>
            <w:proofErr w:type="gramEnd"/>
            <w:r w:rsidRPr="000A2145">
              <w:rPr>
                <w:rFonts w:ascii="Corbel" w:hAnsi="Corbel"/>
                <w:bCs/>
                <w:highlight w:val="yellow"/>
              </w:rPr>
              <w:t xml:space="preserve"> di altre istituzioni scolastiche ed educative all’interno della rete e quindi dei relativi studenti</w:t>
            </w:r>
          </w:p>
        </w:tc>
        <w:tc>
          <w:tcPr>
            <w:tcW w:w="2407" w:type="dxa"/>
          </w:tcPr>
          <w:p w:rsidR="000A2145" w:rsidRDefault="000A2145">
            <w:r>
              <w:t>3 punti</w:t>
            </w:r>
          </w:p>
        </w:tc>
        <w:tc>
          <w:tcPr>
            <w:tcW w:w="2408" w:type="dxa"/>
          </w:tcPr>
          <w:p w:rsidR="000A2145" w:rsidRDefault="000A2145">
            <w:r>
              <w:t>9 punti</w:t>
            </w:r>
          </w:p>
        </w:tc>
      </w:tr>
      <w:tr w:rsidR="000A2145" w:rsidTr="000A2145">
        <w:tc>
          <w:tcPr>
            <w:tcW w:w="988" w:type="dxa"/>
          </w:tcPr>
          <w:p w:rsidR="000A2145" w:rsidRDefault="000A2145">
            <w:r>
              <w:t>7</w:t>
            </w:r>
          </w:p>
        </w:tc>
        <w:tc>
          <w:tcPr>
            <w:tcW w:w="3825" w:type="dxa"/>
          </w:tcPr>
          <w:p w:rsidR="000A2145" w:rsidRDefault="000A2145">
            <w:proofErr w:type="gramStart"/>
            <w:r w:rsidRPr="000A2145">
              <w:rPr>
                <w:rFonts w:ascii="Corbel" w:hAnsi="Corbel"/>
                <w:bCs/>
                <w:highlight w:val="yellow"/>
              </w:rPr>
              <w:t>coinvolgimento</w:t>
            </w:r>
            <w:proofErr w:type="gramEnd"/>
            <w:r w:rsidRPr="000A2145">
              <w:rPr>
                <w:rFonts w:ascii="Corbel" w:hAnsi="Corbel"/>
                <w:bCs/>
                <w:highlight w:val="yellow"/>
              </w:rPr>
              <w:t xml:space="preserve"> di almeno una istituzione scolastica del primo ciclo</w:t>
            </w:r>
          </w:p>
        </w:tc>
        <w:tc>
          <w:tcPr>
            <w:tcW w:w="2407" w:type="dxa"/>
          </w:tcPr>
          <w:p w:rsidR="000A2145" w:rsidRDefault="000A2145"/>
        </w:tc>
        <w:tc>
          <w:tcPr>
            <w:tcW w:w="2408" w:type="dxa"/>
          </w:tcPr>
          <w:p w:rsidR="000A2145" w:rsidRDefault="000A2145">
            <w:r>
              <w:t>6 punti</w:t>
            </w:r>
          </w:p>
        </w:tc>
      </w:tr>
    </w:tbl>
    <w:p w:rsidR="005516E6" w:rsidRDefault="005516E6"/>
    <w:sectPr w:rsidR="005516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4000F3"/>
    <w:multiLevelType w:val="hybridMultilevel"/>
    <w:tmpl w:val="0D6650C0"/>
    <w:lvl w:ilvl="0" w:tplc="B1244AA4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2F7CCD"/>
    <w:multiLevelType w:val="hybridMultilevel"/>
    <w:tmpl w:val="63E6EB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85D"/>
    <w:rsid w:val="000A2145"/>
    <w:rsid w:val="005516E6"/>
    <w:rsid w:val="00F1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52C28-41BE-49AE-B728-3D14DA0D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185D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F1185D"/>
    <w:pPr>
      <w:spacing w:after="0" w:line="240" w:lineRule="auto"/>
      <w:ind w:left="708" w:firstLine="567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F118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0A2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camana</dc:creator>
  <cp:keywords/>
  <dc:description/>
  <cp:lastModifiedBy>anna camana</cp:lastModifiedBy>
  <cp:revision>2</cp:revision>
  <dcterms:created xsi:type="dcterms:W3CDTF">2015-09-29T07:51:00Z</dcterms:created>
  <dcterms:modified xsi:type="dcterms:W3CDTF">2015-09-29T07:59:00Z</dcterms:modified>
</cp:coreProperties>
</file>